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附件1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spacing w:after="0" w:line="45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0"/>
          <w:szCs w:val="40"/>
          <w:color w:val="auto"/>
        </w:rPr>
        <w:t>节能节水专用设备企业所得税优惠目录（2017 年版）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应用领域</w:t>
            </w: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执行标准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（一）节能设备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中小型三相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电力拖动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18613-2012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异步电动机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电动机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永磁同步电动机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电力拖动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30253-2013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高压三相笼型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电力拖动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30254-2013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异步电动机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多联式空调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符合执行标准范围和要求，能效比达到能效等级 1 级指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制冷(热）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21454-2008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（热泵）机组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标基础上再提高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的要求。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19577-2015，电机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冷水机组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制冷(热）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驱动压缩机冷水机组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空气调节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29540-2013，溴化锂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吸收式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房间空气调节器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制冷(热）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12021.3-2010，定频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 21455-2013，变频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水（地）源热泵机组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制冷(热）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30721-2014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通风机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通风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19761-2009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风机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离心鼓风机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符合执行标准范围和要求，且优于节能评价值水平。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鼓风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28381-2012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4" w:orient="landscape"/>
          <w:cols w:equalWidth="0" w:num="1">
            <w:col w:w="14160"/>
          </w:cols>
          <w:pgMar w:left="1340" w:top="1349" w:right="1340" w:bottom="562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14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5 —</w:t>
      </w:r>
    </w:p>
    <w:p>
      <w:pPr>
        <w:sectPr>
          <w:pgSz w:w="16840" w:h="11904" w:orient="landscape"/>
          <w:cols w:equalWidth="0" w:num="1">
            <w:col w:w="14160"/>
          </w:cols>
          <w:pgMar w:left="1340" w:top="1349" w:right="1340" w:bottom="562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应用领域</w:t>
            </w: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执行标准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清水离心泵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符合执行标准范围和要求，且优于节能评价值水平。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输送液体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19762-2007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水泵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石油化工离心泵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输送液体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32284-2015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压缩机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容积式空气压缩机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压缩空气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19153-2009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kV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及以下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符合执行标准范围及技术要求。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30844.1-2014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通用变频调速设备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21056-2007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变频器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55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变频调速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kV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以上不超过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kV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符合执行标准范围及技术要求。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GB/T 30843.1-2014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通用变频调速设备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三相配电变压器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电力输配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20052-2013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变压器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电力变压器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电力输配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24790-2009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电焊机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电弧焊机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符合执行标准范围和要求，且优于 1 级能效水平。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电焊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GB 28736-2012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1.能效等级达到 TSG G0002《锅炉节能技术监督管理规程》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中热效率指标的目标值要求；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2.工业锅炉大气污染物排放浓度值符合 GB 13271-2014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锅炉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工业锅炉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《锅炉大气污染物排放标准》要求，电站锅炉大气污染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输出蒸汽、热水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TSG G0002《锅炉节能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物排放浓度值符合 GB 13223-2011《火电厂大气污染物排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等介质提供热能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技术监督管理规程》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放标准》要求；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3.燃煤锅炉额定蒸发量（或额定热功率）应当大于 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h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（或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），天然气锅炉不限。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换热器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热交换器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能效等级达到 TSG R0010《热交换器能效测试与评价规则》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1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不同流体之间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TSG R0010《热交换器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中的目标值要求。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15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热量传递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能效测试与评价规则》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6 —</w:t>
      </w: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6909435</wp:posOffset>
                </wp:positionH>
                <wp:positionV relativeFrom="page">
                  <wp:posOffset>1187450</wp:posOffset>
                </wp:positionV>
                <wp:extent cx="0" cy="525081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50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44.05pt,93.5pt" to="544.05pt,506.95pt" o:allowincell="f" strokecolor="#000000" strokeweight="0.7199pt">
                <w10:wrap anchorx="page" anchory="page"/>
              </v:line>
            </w:pict>
          </mc:Fallback>
        </mc:AlternateContent>
      </w: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220" w:type="dxa"/>
            <w:vAlign w:val="bottom"/>
            <w:tcBorders>
              <w:top w:val="single" w:sz="8" w:color="auto"/>
            </w:tcBorders>
          </w:tcPr>
          <w:p>
            <w:pPr>
              <w:ind w:left="2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应用领域</w:t>
            </w: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执行标准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电压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V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，频率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Hz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，规格光通量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/5400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LED 路灯、</w:t>
            </w: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/14000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，功率因数不低于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0.95，初始光效不低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道路、隧道、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LED 隧道灯/工矿灯</w:t>
            </w: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130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，显色指数不低于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70，寿命不低于 30000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工矿照明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时。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LED 照明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电压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V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，频率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Hz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，规格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T8/T5，600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/1200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功率因数不低于 0.9，显色指数不低于 85，寿命不低于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商用照明，单次订购量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2"/>
              </w:rPr>
              <w:t>LED 管灯</w:t>
            </w: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25000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小时；色温为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6500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/5000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/4000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k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时，初始光效不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4"/>
              </w:rPr>
              <w:t>应在 5000 只以上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低于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；色温为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3500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/3000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/2700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k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时，初始光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效不低于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 xml:space="preserve">MW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级超超临界机组，28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MPa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/600℃/620℃/4.9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kPa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，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一次再热+湿冷+汽泵：热耗率≤7220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kJ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发电设备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汽轮机</w:t>
            </w: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MW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级超超临界机组，31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/600℃/620℃/620℃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发电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/4.9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，二次再热+湿冷+汽泵：热耗率≤7050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kJ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kWh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 xml:space="preserve">MW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级超超临界机组，28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MPa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/600℃/620℃/11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kPa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，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一次再热+空冷+汽泵：热耗率≤7480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kJ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最大激振力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；循环选择频率，同时具备加速度延时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23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时效处理仪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频谱谐波时效仪</w:t>
            </w: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保护功能；振动参数除激振力调节保证有两个最大振动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机械制造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加速度在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30-70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  <w:vertAlign w:val="superscript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，参数选择由振动设备自动完成，以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保证处理效果。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35℃工作环境温度，设计浮充寿命≥10 年；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24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通信用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通信用耐高温型阀控式</w:t>
            </w: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电池最高可承受工作环境温度：75℃；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通信基站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YD/T2657-2013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8"/>
              </w:rPr>
              <w:t>铅酸蓄电池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密封铅酸蓄电池</w:t>
            </w:r>
          </w:p>
        </w:tc>
        <w:tc>
          <w:tcPr>
            <w:tcW w:w="5220" w:type="dxa"/>
            <w:vAlign w:val="bottom"/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55℃工作环境温度，80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%DOD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循环寿命大于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次大循环，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数据中心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每次大循环包含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次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%DOD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放电循环。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</w:sectPr>
      </w:pPr>
    </w:p>
    <w:p>
      <w:pPr>
        <w:spacing w:after="0" w:line="130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7 —</w:t>
      </w: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设备类别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2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1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应用领域</w:t>
            </w: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执行标准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4"/>
        </w:trPr>
        <w:tc>
          <w:tcPr>
            <w:tcW w:w="210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（二）节水设备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25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洗涤设备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工业洗衣机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用水量≤18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，洗净率＞35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织物洗涤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ind w:left="4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QB/T 2323-2004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26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空冷式换热器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耐压、气密性、运转试验符合 NB/T 47007-2010 的要求。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发电、化工、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NB/T 47007-2010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冶金、机械制造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冷却设备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循环水量≤1000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³/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h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的中小型塔：飘水率≤0.006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耗电比≤0.035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/(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)；冷却能力≥95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27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机械通风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空调制冷、冷冻、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18870-2011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开式冷却塔</w:t>
            </w: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化工、发电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循环水量＞1000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³/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h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的大型塔：飘水率≤0.001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5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耗电比≤0.045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/(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)；冷却能力≥95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大型喷灌机：水量分布均匀系数、同步性能应符合 JB/T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JB/T 6280-2013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6280-2013 的要求。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28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喷灌机</w:t>
            </w: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农业、园林灌溉</w:t>
            </w: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滴灌设备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轻小型喷灌机：喷洒均匀性、燃油消耗率、喷灌机效率、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25406-2010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管路系统密封性应符合 GB/T 25406-2010 的要求。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29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滴灌带（管）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流量一致性、流量和进水口压力之间关系、耐静水压、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适用于棉花、蔬菜、果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17187-2009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耐拉拔应符合 GB/T 17187-2009 的要求。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树等经济作物的滴灌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含盐量低于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30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水处理及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反渗透淡化装置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水回收率≥75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，脱盐率≥95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的苦咸水淡化或农村分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GB/T 19249-2003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散地区的饮用水处理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回用设备</w:t>
            </w: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31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中空纤维超滤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截留率≥90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水处理净化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HY/T 060-2002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水处理设备</w:t>
            </w: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产水量≥额定产水量。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CJ/T 170-2002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5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8 —</w:t>
      </w: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  <w:type w:val="continuous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9"/>
        </w:trPr>
        <w:tc>
          <w:tcPr>
            <w:tcW w:w="6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设备类别</w:t>
            </w: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350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left="159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性能参数</w:t>
            </w: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应用领域</w:t>
            </w:r>
          </w:p>
        </w:tc>
        <w:tc>
          <w:tcPr>
            <w:tcW w:w="2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执行标准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苦咸水淡化反渗透膜：水通量≥4.5×10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  <w:vertAlign w:val="superscript"/>
              </w:rPr>
              <w:t>-2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/(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  <w:vertAlign w:val="superscript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·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)；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1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35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32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水处理及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海水/苦咸水淡化</w:t>
            </w:r>
          </w:p>
        </w:tc>
        <w:tc>
          <w:tcPr>
            <w:tcW w:w="350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脱盐率≥99.0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海水、苦咸水淡化</w:t>
            </w: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HY/T 107-2008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回用设备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反渗透膜元件</w:t>
            </w: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vMerge w:val="restart"/>
          </w:tcPr>
          <w:p>
            <w:pPr>
              <w:ind w:left="4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海水淡化反渗透膜：水通量≥3.8×10</w:t>
            </w:r>
          </w:p>
        </w:tc>
        <w:tc>
          <w:tcPr>
            <w:tcW w:w="120" w:type="dxa"/>
            <w:vAlign w:val="bottom"/>
            <w:vMerge w:val="restart"/>
          </w:tcPr>
          <w:p>
            <w:pPr>
              <w:jc w:val="right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0"/>
              </w:rPr>
              <w:t>-2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jc w:val="right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3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2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jc w:val="right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78"/>
              </w:rPr>
              <w:t>m</w:t>
            </w: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300"/>
              <w:spacing w:after="0" w:line="19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/(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7"/>
              </w:rPr>
              <w:t xml:space="preserve">m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·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7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)；</w:t>
            </w: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6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</w:tcPr>
          <w:p>
            <w:pPr>
              <w:ind w:left="4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脱盐率≥99.4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6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4160"/>
          </w:cols>
          <w:pgMar w:left="1340" w:top="1440" w:right="1340" w:bottom="562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p>
      <w:pPr>
        <w:jc w:val="center"/>
        <w:ind w:right="140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9 —</w:t>
      </w:r>
    </w:p>
    <w:sectPr>
      <w:pgSz w:w="16840" w:h="11904" w:orient="landscape"/>
      <w:cols w:equalWidth="0" w:num="1">
        <w:col w:w="14160"/>
      </w:cols>
      <w:pgMar w:left="1340" w:top="1440" w:right="1340" w:bottom="56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2017-09-28T14:23:00Z</dcterms:created>
  <dcterms:modified xsi:type="dcterms:W3CDTF">2017-09-28T14:23:00Z</dcterms:modified>
</cp:coreProperties>
</file>